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449E6C97" w:rsidR="00C4146A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  <w:r w:rsidRPr="00C91DE9">
        <w:rPr>
          <w:rFonts w:ascii="Arial" w:hAnsi="Arial" w:cs="Arial"/>
        </w:rPr>
        <w:t>SMLOUVA O PROVEDENÍ VEŘEJNÉ ZAKÁZKY</w:t>
      </w:r>
    </w:p>
    <w:p w14:paraId="0CB8C083" w14:textId="77777777" w:rsidR="00690999" w:rsidRPr="00690999" w:rsidRDefault="00690999" w:rsidP="00690999">
      <w:pPr>
        <w:rPr>
          <w:lang w:val="x-none" w:eastAsia="x-none"/>
        </w:rPr>
      </w:pPr>
    </w:p>
    <w:p w14:paraId="2F505F5F" w14:textId="4301C183" w:rsidR="00690999" w:rsidRPr="00690999" w:rsidRDefault="00010CCE" w:rsidP="00C91DE9">
      <w:pPr>
        <w:pStyle w:val="Zkladntext3"/>
        <w:spacing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010CCE">
        <w:rPr>
          <w:rFonts w:ascii="Arial" w:hAnsi="Arial" w:cs="Arial"/>
          <w:b/>
          <w:sz w:val="28"/>
          <w:szCs w:val="28"/>
        </w:rPr>
        <w:t>II/360 Trnava - Rudíkov část 2, homogenizace úseku silnice mezi Třebíčí a D1, PD</w:t>
      </w:r>
    </w:p>
    <w:p w14:paraId="6B5A8D27" w14:textId="77777777" w:rsidR="00690999" w:rsidRDefault="0069099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7F4E7F80" w14:textId="2DB3F213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2C4DDBBF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690999">
        <w:rPr>
          <w:rFonts w:ascii="Arial" w:eastAsia="MS Mincho" w:hAnsi="Arial" w:cs="Arial"/>
          <w:sz w:val="22"/>
          <w:szCs w:val="22"/>
        </w:rPr>
        <w:t>Ing. Miroslav Dokulil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1A74A549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87693E">
        <w:rPr>
          <w:rFonts w:ascii="Arial" w:hAnsi="Arial" w:cs="Arial"/>
          <w:sz w:val="22"/>
          <w:szCs w:val="22"/>
        </w:rPr>
        <w:t>ČNB</w:t>
      </w:r>
    </w:p>
    <w:p w14:paraId="77A32C6D" w14:textId="36EB048B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87693E" w:rsidRPr="00491AED">
        <w:rPr>
          <w:rFonts w:ascii="Arial" w:eastAsia="MS Mincho" w:hAnsi="Arial" w:cs="Arial"/>
          <w:sz w:val="22"/>
          <w:szCs w:val="22"/>
        </w:rPr>
        <w:t>2006-32925681/0710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4D3D198F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</w:t>
      </w:r>
      <w:r w:rsidR="00010CCE">
        <w:rPr>
          <w:rFonts w:ascii="Arial" w:hAnsi="Arial" w:cs="Arial"/>
          <w:bCs/>
          <w:sz w:val="22"/>
          <w:szCs w:val="22"/>
        </w:rPr>
        <w:t> </w:t>
      </w:r>
      <w:r w:rsidRPr="0059463F">
        <w:rPr>
          <w:rFonts w:ascii="Arial" w:hAnsi="Arial" w:cs="Arial"/>
          <w:bCs/>
          <w:sz w:val="22"/>
          <w:szCs w:val="22"/>
        </w:rPr>
        <w:t>názvem</w:t>
      </w:r>
      <w:r w:rsidR="00010CCE">
        <w:rPr>
          <w:rFonts w:ascii="Arial" w:hAnsi="Arial" w:cs="Arial"/>
          <w:sz w:val="22"/>
          <w:szCs w:val="22"/>
        </w:rPr>
        <w:t xml:space="preserve"> </w:t>
      </w:r>
      <w:r w:rsidR="00010CCE" w:rsidRPr="00010CCE">
        <w:rPr>
          <w:rFonts w:ascii="Arial" w:hAnsi="Arial" w:cs="Arial"/>
          <w:b/>
          <w:sz w:val="22"/>
          <w:szCs w:val="22"/>
        </w:rPr>
        <w:t>II/360 Trnava – Rudíkov část 2, homogenizace úseku silnice mezi Třebíčí a D1, PD</w:t>
      </w:r>
      <w:r w:rsidRPr="0059463F">
        <w:rPr>
          <w:rFonts w:ascii="Arial" w:hAnsi="Arial" w:cs="Arial"/>
          <w:bCs/>
          <w:sz w:val="22"/>
          <w:szCs w:val="22"/>
        </w:rPr>
        <w:t xml:space="preserve">. Jednotlivá ujednání smlouvy tak budou vykládána v souladu se </w:t>
      </w:r>
      <w:r w:rsidRPr="0059463F">
        <w:rPr>
          <w:rFonts w:ascii="Arial" w:hAnsi="Arial" w:cs="Arial"/>
          <w:bCs/>
          <w:sz w:val="22"/>
          <w:szCs w:val="22"/>
        </w:rPr>
        <w:lastRenderedPageBreak/>
        <w:t>zadávacími podmínkami veřejné zakázky a nabídkou Zhotovitele podanou do Řízení veřejné zakázky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E3950B3" w14:textId="540F3166"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>“) vč. soupisu prací a rozpočtu na akci „</w:t>
      </w:r>
      <w:r w:rsidR="00010CCE" w:rsidRPr="00F16C1F">
        <w:rPr>
          <w:rFonts w:ascii="Arial" w:hAnsi="Arial" w:cs="Arial"/>
          <w:sz w:val="22"/>
          <w:szCs w:val="22"/>
        </w:rPr>
        <w:t>II/3</w:t>
      </w:r>
      <w:r w:rsidR="00010CCE">
        <w:rPr>
          <w:rFonts w:ascii="Arial" w:hAnsi="Arial" w:cs="Arial"/>
          <w:sz w:val="22"/>
          <w:szCs w:val="22"/>
        </w:rPr>
        <w:t>60 Trnava – Rudíkov část 2, homogenizace úseku silnice mezi Třebíčí a D1</w:t>
      </w:r>
      <w:r w:rsidRPr="007C320C">
        <w:rPr>
          <w:rFonts w:ascii="Arial" w:hAnsi="Arial" w:cs="Arial"/>
          <w:sz w:val="22"/>
          <w:szCs w:val="22"/>
        </w:rPr>
        <w:t>“.</w:t>
      </w:r>
    </w:p>
    <w:p w14:paraId="77D9EDCB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2A2B2A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6009F4A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779325B9" w14:textId="61D7ABBA" w:rsidR="00231A9B" w:rsidRDefault="00231A9B" w:rsidP="00231A9B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836549">
        <w:rPr>
          <w:rFonts w:ascii="Arial" w:hAnsi="Arial" w:cs="Arial"/>
          <w:sz w:val="22"/>
          <w:szCs w:val="22"/>
        </w:rPr>
        <w:t xml:space="preserve">Na stavbu „II/360 Trnava – Rudíkov“ v délce 3,640 km byla v roce 2018 vypracovaná projektová dokumentace ve stupni pro územní rozhodnutí (DÚR, vypracovala projekční kancelář Dopravně inženýrská kancelář, s.r.o., </w:t>
      </w:r>
      <w:r w:rsidR="001D2B24">
        <w:rPr>
          <w:rFonts w:ascii="Arial" w:hAnsi="Arial" w:cs="Arial"/>
          <w:sz w:val="22"/>
          <w:szCs w:val="22"/>
        </w:rPr>
        <w:t>0</w:t>
      </w:r>
      <w:r w:rsidRPr="00836549">
        <w:rPr>
          <w:rFonts w:ascii="Arial" w:hAnsi="Arial" w:cs="Arial"/>
          <w:sz w:val="22"/>
          <w:szCs w:val="22"/>
        </w:rPr>
        <w:t>8/2018), která byla později rozdělena na dvě části („II/360 Trnava – Rudíkov, 1. stavba“ a „II/360 Trnava – Rudíkov, 2. stavba“). Stavba „</w:t>
      </w:r>
      <w:r w:rsidR="00010CCE" w:rsidRPr="00F16C1F">
        <w:rPr>
          <w:rFonts w:ascii="Arial" w:hAnsi="Arial" w:cs="Arial"/>
          <w:sz w:val="22"/>
          <w:szCs w:val="22"/>
        </w:rPr>
        <w:t>II/3</w:t>
      </w:r>
      <w:r w:rsidR="00010CCE">
        <w:rPr>
          <w:rFonts w:ascii="Arial" w:hAnsi="Arial" w:cs="Arial"/>
          <w:sz w:val="22"/>
          <w:szCs w:val="22"/>
        </w:rPr>
        <w:t>60 Trnava – Rudíkov část 2, homogenizace úseku silnice mezi Třebíčí a D1</w:t>
      </w:r>
      <w:r w:rsidRPr="00836549">
        <w:rPr>
          <w:rFonts w:ascii="Arial" w:hAnsi="Arial" w:cs="Arial"/>
          <w:sz w:val="22"/>
          <w:szCs w:val="22"/>
        </w:rPr>
        <w:t>“ je vymezena staničením 0,000 – cca 1,300 z celkového staničení stavby „II/360 Trnava – Rudíkov</w:t>
      </w:r>
      <w:r w:rsidR="001D2B24">
        <w:rPr>
          <w:rFonts w:ascii="Arial" w:hAnsi="Arial" w:cs="Arial"/>
          <w:sz w:val="22"/>
          <w:szCs w:val="22"/>
        </w:rPr>
        <w:t>“.</w:t>
      </w:r>
    </w:p>
    <w:p w14:paraId="631B31FA" w14:textId="529C7F35" w:rsidR="00231A9B" w:rsidRPr="00F16C1F" w:rsidRDefault="00231A9B" w:rsidP="00231A9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Pr="00E80621">
        <w:rPr>
          <w:rFonts w:ascii="Arial" w:hAnsi="Arial" w:cs="Arial"/>
          <w:sz w:val="22"/>
          <w:szCs w:val="22"/>
        </w:rPr>
        <w:t>pro povolení záměru (dále též „DPZ“)</w:t>
      </w:r>
      <w:r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>
        <w:rPr>
          <w:rFonts w:ascii="Arial" w:hAnsi="Arial" w:cs="Arial"/>
          <w:sz w:val="22"/>
          <w:szCs w:val="22"/>
        </w:rPr>
        <w:t>pravomocných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</w:t>
      </w:r>
      <w:r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 xml:space="preserve">“) </w:t>
      </w:r>
      <w:r w:rsidRPr="00C77E25">
        <w:rPr>
          <w:rFonts w:ascii="Arial" w:hAnsi="Arial" w:cs="Arial"/>
          <w:sz w:val="22"/>
          <w:szCs w:val="22"/>
        </w:rPr>
        <w:t xml:space="preserve"> pro stavbu</w:t>
      </w:r>
      <w:r>
        <w:rPr>
          <w:rFonts w:ascii="Arial" w:hAnsi="Arial" w:cs="Arial"/>
          <w:sz w:val="22"/>
          <w:szCs w:val="22"/>
        </w:rPr>
        <w:t xml:space="preserve"> „</w:t>
      </w:r>
      <w:r w:rsidR="00010CCE" w:rsidRPr="00F16C1F">
        <w:rPr>
          <w:rFonts w:ascii="Arial" w:hAnsi="Arial" w:cs="Arial"/>
          <w:sz w:val="22"/>
          <w:szCs w:val="22"/>
        </w:rPr>
        <w:t>II/3</w:t>
      </w:r>
      <w:r w:rsidR="00010CCE">
        <w:rPr>
          <w:rFonts w:ascii="Arial" w:hAnsi="Arial" w:cs="Arial"/>
          <w:sz w:val="22"/>
          <w:szCs w:val="22"/>
        </w:rPr>
        <w:t>60 Trnava – Rudíkov část 2, homogenizace úseku silnice mezi Třebíčí a D1</w:t>
      </w:r>
      <w:r w:rsidRPr="00C77E25">
        <w:rPr>
          <w:rFonts w:ascii="Arial" w:hAnsi="Arial" w:cs="Arial"/>
          <w:sz w:val="22"/>
          <w:szCs w:val="22"/>
        </w:rPr>
        <w:t>"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55922C2" w14:textId="77777777" w:rsidR="00231A9B" w:rsidRDefault="00231A9B" w:rsidP="00231A9B">
      <w:pPr>
        <w:overflowPunct/>
        <w:spacing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Technické </w:t>
      </w:r>
      <w:r w:rsidRPr="00160306">
        <w:rPr>
          <w:rFonts w:ascii="Arial" w:hAnsi="Arial" w:cs="Arial"/>
          <w:bCs/>
          <w:sz w:val="22"/>
          <w:szCs w:val="22"/>
        </w:rPr>
        <w:t>řešení rekonstrukce</w:t>
      </w:r>
      <w:r>
        <w:rPr>
          <w:rFonts w:ascii="Arial" w:hAnsi="Arial" w:cs="Arial"/>
          <w:bCs/>
          <w:sz w:val="22"/>
          <w:szCs w:val="22"/>
        </w:rPr>
        <w:t xml:space="preserve"> předmětného úseku silnice II/360 spočívá v úpravě silnice na kategorii</w:t>
      </w:r>
      <w:r w:rsidRPr="00160306">
        <w:rPr>
          <w:rFonts w:ascii="Arial" w:hAnsi="Arial" w:cs="Arial"/>
          <w:bCs/>
          <w:sz w:val="22"/>
          <w:szCs w:val="22"/>
        </w:rPr>
        <w:t> S </w:t>
      </w:r>
      <w:r>
        <w:rPr>
          <w:rFonts w:ascii="Arial" w:hAnsi="Arial" w:cs="Arial"/>
          <w:bCs/>
          <w:sz w:val="22"/>
          <w:szCs w:val="22"/>
        </w:rPr>
        <w:t>9</w:t>
      </w:r>
      <w:r w:rsidRPr="00160306">
        <w:rPr>
          <w:rFonts w:ascii="Arial" w:hAnsi="Arial" w:cs="Arial"/>
          <w:bCs/>
          <w:sz w:val="22"/>
          <w:szCs w:val="22"/>
        </w:rPr>
        <w:t xml:space="preserve">,5 </w:t>
      </w:r>
      <w:r>
        <w:rPr>
          <w:rFonts w:ascii="Arial" w:hAnsi="Arial" w:cs="Arial"/>
          <w:bCs/>
          <w:sz w:val="22"/>
          <w:szCs w:val="22"/>
        </w:rPr>
        <w:t xml:space="preserve">s šířkovou a výškovou </w:t>
      </w:r>
      <w:r w:rsidRPr="00160306">
        <w:rPr>
          <w:rFonts w:ascii="Arial" w:hAnsi="Arial" w:cs="Arial"/>
          <w:bCs/>
          <w:sz w:val="22"/>
          <w:szCs w:val="22"/>
        </w:rPr>
        <w:t>úpravou</w:t>
      </w:r>
      <w:r>
        <w:rPr>
          <w:rFonts w:ascii="Arial" w:hAnsi="Arial" w:cs="Arial"/>
          <w:bCs/>
          <w:sz w:val="22"/>
          <w:szCs w:val="22"/>
        </w:rPr>
        <w:t xml:space="preserve"> vozovky,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s úpravou </w:t>
      </w:r>
      <w:r w:rsidRPr="00160306">
        <w:rPr>
          <w:rFonts w:ascii="Arial" w:hAnsi="Arial" w:cs="Arial"/>
          <w:bCs/>
          <w:sz w:val="22"/>
          <w:szCs w:val="22"/>
        </w:rPr>
        <w:t>směrových a výškových oblouků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67972545" w14:textId="77777777" w:rsidR="00231A9B" w:rsidRDefault="00231A9B" w:rsidP="00231A9B">
      <w:pPr>
        <w:overflowPunct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 projektové dokumentaci bude navrženo řešení převedení chodců a cyklistů (cyklostezka 5112) přes silnici II/360 v místě křížení s MK u hřbitova.</w:t>
      </w:r>
    </w:p>
    <w:p w14:paraId="2C7DBC22" w14:textId="307C5483" w:rsidR="00231A9B" w:rsidRDefault="00231A9B" w:rsidP="00231A9B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Začátek </w:t>
      </w:r>
      <w:r>
        <w:rPr>
          <w:rFonts w:ascii="Arial" w:hAnsi="Arial" w:cs="Arial"/>
          <w:sz w:val="22"/>
          <w:szCs w:val="22"/>
        </w:rPr>
        <w:t>rekonstruovaného úseku silnice II/360</w:t>
      </w:r>
      <w:r w:rsidRPr="00F16C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navazuje na dokončenou stavbu „II/360 Oslavička Rudíkov“ (cca </w:t>
      </w:r>
      <w:r w:rsidRPr="00F16C1F">
        <w:rPr>
          <w:rFonts w:ascii="Arial" w:hAnsi="Arial" w:cs="Arial"/>
          <w:sz w:val="22"/>
          <w:szCs w:val="22"/>
        </w:rPr>
        <w:t>v km</w:t>
      </w:r>
      <w:r>
        <w:rPr>
          <w:rFonts w:ascii="Arial" w:hAnsi="Arial" w:cs="Arial"/>
          <w:sz w:val="22"/>
          <w:szCs w:val="22"/>
        </w:rPr>
        <w:t xml:space="preserve"> 115,570 </w:t>
      </w:r>
      <w:r w:rsidRPr="00F16C1F">
        <w:rPr>
          <w:rFonts w:ascii="Arial" w:hAnsi="Arial" w:cs="Arial"/>
          <w:sz w:val="22"/>
          <w:szCs w:val="22"/>
        </w:rPr>
        <w:t>provozního staničení</w:t>
      </w:r>
      <w:r>
        <w:rPr>
          <w:rFonts w:ascii="Arial" w:hAnsi="Arial" w:cs="Arial"/>
          <w:sz w:val="22"/>
          <w:szCs w:val="22"/>
        </w:rPr>
        <w:t xml:space="preserve"> komunikace)</w:t>
      </w:r>
      <w:r w:rsidRPr="00F16C1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Konec úpravy je v blízkosti čerpací stanice u obce Rudíkov v </w:t>
      </w:r>
      <w:r w:rsidR="001D2B24">
        <w:rPr>
          <w:rFonts w:ascii="Arial" w:hAnsi="Arial" w:cs="Arial"/>
          <w:sz w:val="22"/>
          <w:szCs w:val="22"/>
        </w:rPr>
        <w:t>pracovní spáře akce</w:t>
      </w:r>
      <w:r>
        <w:rPr>
          <w:rFonts w:ascii="Arial" w:hAnsi="Arial" w:cs="Arial"/>
          <w:sz w:val="22"/>
          <w:szCs w:val="22"/>
        </w:rPr>
        <w:t xml:space="preserve"> „II/360 Trnava Rudíkov, 1. stavba“ (cca </w:t>
      </w:r>
      <w:r w:rsidRPr="00F16C1F">
        <w:rPr>
          <w:rFonts w:ascii="Arial" w:hAnsi="Arial" w:cs="Arial"/>
          <w:sz w:val="22"/>
          <w:szCs w:val="22"/>
        </w:rPr>
        <w:t xml:space="preserve">v km </w:t>
      </w:r>
      <w:r>
        <w:rPr>
          <w:rFonts w:ascii="Arial" w:hAnsi="Arial" w:cs="Arial"/>
          <w:sz w:val="22"/>
          <w:szCs w:val="22"/>
        </w:rPr>
        <w:t>116,900</w:t>
      </w:r>
      <w:r w:rsidRPr="00F16C1F">
        <w:rPr>
          <w:rFonts w:ascii="Arial" w:hAnsi="Arial" w:cs="Arial"/>
          <w:sz w:val="22"/>
          <w:szCs w:val="22"/>
        </w:rPr>
        <w:t xml:space="preserve"> provozního staničení</w:t>
      </w:r>
      <w:r>
        <w:rPr>
          <w:rFonts w:ascii="Arial" w:hAnsi="Arial" w:cs="Arial"/>
          <w:sz w:val="22"/>
          <w:szCs w:val="22"/>
        </w:rPr>
        <w:t xml:space="preserve"> komunikace).</w:t>
      </w:r>
    </w:p>
    <w:p w14:paraId="6EA725B0" w14:textId="77777777" w:rsidR="00231A9B" w:rsidRPr="00F16C1F" w:rsidRDefault="00231A9B" w:rsidP="00231A9B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Celková délka řešeného úseku</w:t>
      </w:r>
      <w:r>
        <w:rPr>
          <w:rFonts w:ascii="Arial" w:hAnsi="Arial" w:cs="Arial"/>
          <w:sz w:val="22"/>
          <w:szCs w:val="22"/>
        </w:rPr>
        <w:t xml:space="preserve"> silnice II/360 </w:t>
      </w:r>
      <w:r w:rsidRPr="00F16C1F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cca</w:t>
      </w:r>
      <w:r w:rsidRPr="00F16C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1,300</w:t>
      </w:r>
      <w:r w:rsidRPr="00F16C1F">
        <w:rPr>
          <w:rFonts w:ascii="Arial" w:hAnsi="Arial" w:cs="Arial"/>
          <w:sz w:val="22"/>
          <w:szCs w:val="22"/>
        </w:rPr>
        <w:t xml:space="preserve"> km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3F49F59" w14:textId="77899E68" w:rsidR="00231A9B" w:rsidRDefault="00231A9B" w:rsidP="00231A9B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</w:t>
      </w:r>
      <w:r>
        <w:rPr>
          <w:rFonts w:ascii="Arial" w:hAnsi="Arial" w:cs="Arial"/>
          <w:sz w:val="22"/>
          <w:szCs w:val="22"/>
        </w:rPr>
        <w:t xml:space="preserve"> na vstupním výrobním výboru.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1F4B6CAD" w:rsidR="00371E3E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 w:rsidRPr="00EB49F8">
        <w:rPr>
          <w:rFonts w:ascii="Arial" w:hAnsi="Arial" w:cs="Arial"/>
          <w:sz w:val="22"/>
          <w:szCs w:val="22"/>
        </w:rPr>
        <w:t>Pro předávání</w:t>
      </w:r>
      <w:r w:rsidR="00EB49F8">
        <w:rPr>
          <w:rFonts w:ascii="Arial" w:hAnsi="Arial" w:cs="Arial"/>
          <w:sz w:val="22"/>
          <w:szCs w:val="22"/>
        </w:rPr>
        <w:t xml:space="preserve"> dokumentů</w:t>
      </w:r>
      <w:r>
        <w:rPr>
          <w:rFonts w:ascii="Arial" w:hAnsi="Arial" w:cs="Arial"/>
          <w:sz w:val="22"/>
          <w:szCs w:val="22"/>
        </w:rPr>
        <w:t xml:space="preserve">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>
        <w:rPr>
          <w:rFonts w:ascii="Arial" w:hAnsi="Arial" w:cs="Arial"/>
          <w:sz w:val="22"/>
          <w:szCs w:val="22"/>
        </w:rPr>
        <w:t>.</w:t>
      </w:r>
    </w:p>
    <w:p w14:paraId="0CE7BFC6" w14:textId="6814E4D2" w:rsidR="00231A9B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641351D1"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</w:t>
      </w:r>
      <w:r w:rsidR="00DD52B4">
        <w:rPr>
          <w:rFonts w:ascii="Arial" w:hAnsi="Arial" w:cs="Arial"/>
          <w:sz w:val="22"/>
          <w:szCs w:val="22"/>
        </w:rPr>
        <w:lastRenderedPageBreak/>
        <w:t>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Pr="008826B9" w:rsidRDefault="007A10F5" w:rsidP="008826B9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8826B9">
        <w:rPr>
          <w:rFonts w:ascii="Arial" w:hAnsi="Arial" w:cs="Arial"/>
          <w:b w:val="0"/>
          <w:sz w:val="22"/>
          <w:szCs w:val="22"/>
        </w:rPr>
        <w:t>Projektová dokumentace bude zpracována v</w:t>
      </w:r>
      <w:r w:rsidR="00DA4806" w:rsidRPr="008826B9">
        <w:rPr>
          <w:rFonts w:ascii="Arial" w:hAnsi="Arial" w:cs="Arial"/>
          <w:b w:val="0"/>
          <w:sz w:val="22"/>
          <w:szCs w:val="22"/>
        </w:rPr>
        <w:t xml:space="preserve"> souladu se zákonem č. 283/2021 Sb., stavební zákon, ve znění pozdějších předpisů, </w:t>
      </w:r>
      <w:r w:rsidR="00D7228D" w:rsidRPr="008826B9">
        <w:rPr>
          <w:rFonts w:ascii="Arial" w:hAnsi="Arial" w:cs="Arial"/>
          <w:b w:val="0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standardu, vyhláš</w:t>
      </w:r>
      <w:r w:rsidR="001A5D30" w:rsidRPr="008826B9">
        <w:rPr>
          <w:rFonts w:ascii="Arial" w:hAnsi="Arial" w:cs="Arial"/>
          <w:b w:val="0"/>
          <w:sz w:val="22"/>
          <w:szCs w:val="22"/>
        </w:rPr>
        <w:t>kou č. 227/2024 Sb., o rozsahu a obsahu projektové dokumentace staveb dopravní infrastruktury</w:t>
      </w:r>
      <w:r w:rsidR="00DA4806" w:rsidRPr="008826B9">
        <w:rPr>
          <w:rFonts w:ascii="Arial" w:hAnsi="Arial" w:cs="Arial"/>
          <w:b w:val="0"/>
          <w:sz w:val="22"/>
          <w:szCs w:val="22"/>
        </w:rPr>
        <w:t xml:space="preserve"> dle </w:t>
      </w:r>
      <w:r w:rsidR="000B3365" w:rsidRPr="008826B9">
        <w:rPr>
          <w:rFonts w:ascii="Arial" w:hAnsi="Arial" w:cs="Arial"/>
          <w:b w:val="0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 w:rsidRPr="008826B9">
        <w:rPr>
          <w:rFonts w:ascii="Arial" w:hAnsi="Arial" w:cs="Arial"/>
          <w:b w:val="0"/>
          <w:sz w:val="22"/>
          <w:szCs w:val="22"/>
        </w:rPr>
        <w:t>ve znění pozdějších předpisů</w:t>
      </w:r>
      <w:r w:rsidR="00C25200" w:rsidRPr="008826B9">
        <w:rPr>
          <w:rFonts w:ascii="Arial" w:hAnsi="Arial" w:cs="Arial"/>
          <w:b w:val="0"/>
          <w:sz w:val="22"/>
          <w:szCs w:val="22"/>
        </w:rPr>
        <w:t>,</w:t>
      </w:r>
      <w:r w:rsidR="00E5059B" w:rsidRPr="008826B9">
        <w:rPr>
          <w:rFonts w:ascii="Arial" w:hAnsi="Arial" w:cs="Arial"/>
          <w:b w:val="0"/>
          <w:sz w:val="22"/>
          <w:szCs w:val="22"/>
        </w:rPr>
        <w:t xml:space="preserve"> ve smyslu zákona č. 13</w:t>
      </w:r>
      <w:r w:rsidR="00C25200" w:rsidRPr="008826B9">
        <w:rPr>
          <w:rFonts w:ascii="Arial" w:hAnsi="Arial" w:cs="Arial"/>
          <w:b w:val="0"/>
          <w:sz w:val="22"/>
          <w:szCs w:val="22"/>
        </w:rPr>
        <w:t>4</w:t>
      </w:r>
      <w:r w:rsidR="00E5059B" w:rsidRPr="008826B9">
        <w:rPr>
          <w:rFonts w:ascii="Arial" w:hAnsi="Arial" w:cs="Arial"/>
          <w:b w:val="0"/>
          <w:sz w:val="22"/>
          <w:szCs w:val="22"/>
        </w:rPr>
        <w:t>/2016 Sb., o zadávání veřejných zakázek</w:t>
      </w:r>
      <w:r w:rsidR="00C25200" w:rsidRPr="008826B9">
        <w:rPr>
          <w:rFonts w:ascii="Arial" w:hAnsi="Arial" w:cs="Arial"/>
          <w:b w:val="0"/>
          <w:sz w:val="22"/>
          <w:szCs w:val="22"/>
        </w:rPr>
        <w:t>, ve znění pozdějších předpisů</w:t>
      </w:r>
      <w:r w:rsidR="00E5059B" w:rsidRPr="008826B9">
        <w:rPr>
          <w:rFonts w:ascii="Arial" w:hAnsi="Arial" w:cs="Arial"/>
          <w:b w:val="0"/>
          <w:sz w:val="22"/>
          <w:szCs w:val="22"/>
        </w:rPr>
        <w:t>.</w:t>
      </w:r>
      <w:r w:rsidR="000B3365" w:rsidRPr="008826B9">
        <w:rPr>
          <w:rFonts w:ascii="Arial" w:hAnsi="Arial" w:cs="Arial"/>
          <w:b w:val="0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9EE2068" w14:textId="548DB932" w:rsidR="0085342E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Závazné</w:t>
      </w:r>
      <w:r w:rsidRPr="00666F62">
        <w:rPr>
          <w:rFonts w:ascii="Arial" w:hAnsi="Arial" w:cs="Arial"/>
          <w:bCs/>
          <w:sz w:val="22"/>
          <w:szCs w:val="22"/>
        </w:rPr>
        <w:t xml:space="preserve"> podklady pro vypracování projektové dokumentace:</w:t>
      </w:r>
    </w:p>
    <w:p w14:paraId="5C069877" w14:textId="77777777" w:rsidR="008905C8" w:rsidRPr="00666F62" w:rsidRDefault="008905C8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</w:p>
    <w:p w14:paraId="65BE7ABE" w14:textId="20E37C50" w:rsidR="00690999" w:rsidRPr="00836549" w:rsidRDefault="00690999" w:rsidP="00690999">
      <w:pPr>
        <w:pStyle w:val="Odstavecseseznamem"/>
        <w:numPr>
          <w:ilvl w:val="0"/>
          <w:numId w:val="50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836549">
        <w:rPr>
          <w:rFonts w:ascii="Arial" w:hAnsi="Arial" w:cs="Arial"/>
          <w:sz w:val="22"/>
          <w:szCs w:val="22"/>
        </w:rPr>
        <w:t xml:space="preserve">PD ve stupni DÚR stavby „II/360 Trnava – Rudíkov“ (Dopravně inženýrská kancelář, s.r.o., </w:t>
      </w:r>
      <w:r w:rsidR="001D2B24">
        <w:rPr>
          <w:rFonts w:ascii="Arial" w:hAnsi="Arial" w:cs="Arial"/>
          <w:sz w:val="22"/>
          <w:szCs w:val="22"/>
        </w:rPr>
        <w:t>0</w:t>
      </w:r>
      <w:r w:rsidRPr="00836549">
        <w:rPr>
          <w:rFonts w:ascii="Arial" w:hAnsi="Arial" w:cs="Arial"/>
          <w:sz w:val="22"/>
          <w:szCs w:val="22"/>
        </w:rPr>
        <w:t>8/2018) včetně zaměření pro DÚR (v digitální formě),</w:t>
      </w:r>
    </w:p>
    <w:p w14:paraId="5777B545" w14:textId="26E62014" w:rsidR="00690999" w:rsidRPr="00836549" w:rsidRDefault="00690999" w:rsidP="00690999">
      <w:pPr>
        <w:pStyle w:val="Odstavecseseznamem"/>
        <w:numPr>
          <w:ilvl w:val="0"/>
          <w:numId w:val="50"/>
        </w:numPr>
        <w:tabs>
          <w:tab w:val="num" w:pos="-1560"/>
        </w:tabs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836549">
        <w:rPr>
          <w:rFonts w:ascii="Arial" w:hAnsi="Arial" w:cs="Arial"/>
          <w:sz w:val="22"/>
          <w:szCs w:val="22"/>
        </w:rPr>
        <w:t>Diagnostika vozovky II/360 pro akci „II/360 Trnava – Rudíkov“ (ESLAB, spol. s r.o., 01/2021, v digitální formě)</w:t>
      </w:r>
      <w:r w:rsidR="00836549" w:rsidRPr="00836549">
        <w:rPr>
          <w:rFonts w:ascii="Arial" w:hAnsi="Arial" w:cs="Arial"/>
          <w:sz w:val="22"/>
          <w:szCs w:val="22"/>
        </w:rPr>
        <w:t>.</w:t>
      </w:r>
    </w:p>
    <w:p w14:paraId="33C6FEDA" w14:textId="77777777" w:rsidR="008826B9" w:rsidRDefault="008826B9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076F5B44" w14:textId="2BBE04B3" w:rsidR="0085342E" w:rsidRPr="00C40699" w:rsidRDefault="0085342E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Všechny výše uvedené podklady předá Objednatel Zhotoviteli po uzavření smlouvy o provedení veřejné zakázky.</w:t>
      </w:r>
    </w:p>
    <w:p w14:paraId="6B6A5C98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59E0B8F" w14:textId="77777777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1CEC034" w14:textId="08049685" w:rsidR="00231A9B" w:rsidRDefault="00231A9B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2591688C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14:paraId="23E4EAC1" w14:textId="77777777" w:rsidR="008905C8" w:rsidRPr="00967BAB" w:rsidRDefault="008905C8" w:rsidP="008905C8">
      <w:pPr>
        <w:numPr>
          <w:ilvl w:val="0"/>
          <w:numId w:val="33"/>
        </w:numPr>
        <w:spacing w:line="264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905C8">
        <w:rPr>
          <w:rFonts w:ascii="Arial" w:hAnsi="Arial" w:cs="Arial"/>
          <w:bCs/>
          <w:sz w:val="22"/>
          <w:szCs w:val="22"/>
        </w:rPr>
        <w:t>aktualizace</w:t>
      </w:r>
      <w:r>
        <w:rPr>
          <w:rFonts w:ascii="Arial" w:hAnsi="Arial" w:cs="Arial"/>
          <w:bCs/>
          <w:sz w:val="22"/>
          <w:szCs w:val="22"/>
        </w:rPr>
        <w:t xml:space="preserve"> nebo doplnění </w:t>
      </w:r>
      <w:r w:rsidRPr="00834994">
        <w:rPr>
          <w:rFonts w:ascii="Arial" w:hAnsi="Arial" w:cs="Arial"/>
          <w:bCs/>
          <w:sz w:val="22"/>
          <w:szCs w:val="22"/>
        </w:rPr>
        <w:t>diagnostik</w:t>
      </w:r>
      <w:r>
        <w:rPr>
          <w:rFonts w:ascii="Arial" w:hAnsi="Arial" w:cs="Arial"/>
          <w:bCs/>
          <w:sz w:val="22"/>
          <w:szCs w:val="22"/>
        </w:rPr>
        <w:t>y</w:t>
      </w:r>
      <w:r w:rsidRPr="00834994">
        <w:rPr>
          <w:rFonts w:ascii="Arial" w:hAnsi="Arial" w:cs="Arial"/>
          <w:bCs/>
          <w:sz w:val="22"/>
          <w:szCs w:val="22"/>
        </w:rPr>
        <w:t xml:space="preserve"> stávající vozovky</w:t>
      </w:r>
      <w:r>
        <w:rPr>
          <w:rFonts w:ascii="Arial" w:hAnsi="Arial" w:cs="Arial"/>
          <w:bCs/>
          <w:sz w:val="22"/>
          <w:szCs w:val="22"/>
        </w:rPr>
        <w:t xml:space="preserve"> (pro daný úsek stavby)</w:t>
      </w:r>
      <w:r w:rsidRPr="00DD0AD1">
        <w:rPr>
          <w:rFonts w:ascii="Arial" w:hAnsi="Arial" w:cs="Arial"/>
          <w:bCs/>
          <w:sz w:val="22"/>
          <w:szCs w:val="22"/>
        </w:rPr>
        <w:t xml:space="preserve"> v souladu s TP 87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>
        <w:rPr>
          <w:rFonts w:ascii="Arial" w:hAnsi="Arial" w:cs="Arial"/>
          <w:bCs/>
          <w:color w:val="242424"/>
          <w:sz w:val="22"/>
          <w:szCs w:val="22"/>
        </w:rPr>
        <w:t>, dle potřeb zhotovitele,</w:t>
      </w:r>
    </w:p>
    <w:p w14:paraId="56648E89" w14:textId="200EB6B9" w:rsidR="008905C8" w:rsidRDefault="008905C8" w:rsidP="008905C8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</w:p>
    <w:p w14:paraId="5920422B" w14:textId="224416F2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0D2CD96" w:rsidR="00BF4BA2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0CF51E01" w14:textId="302D57BE" w:rsidR="00676515" w:rsidRPr="005776A9" w:rsidRDefault="00F23560" w:rsidP="00676515">
      <w:pPr>
        <w:pStyle w:val="ODRKY"/>
        <w:numPr>
          <w:ilvl w:val="0"/>
          <w:numId w:val="28"/>
        </w:numPr>
        <w:tabs>
          <w:tab w:val="num" w:pos="-1560"/>
        </w:tabs>
        <w:ind w:left="284" w:hanging="142"/>
        <w:rPr>
          <w:rFonts w:ascii="Arial" w:hAnsi="Arial"/>
          <w:bCs/>
          <w:sz w:val="22"/>
          <w:u w:val="single"/>
        </w:rPr>
      </w:pPr>
      <w:r w:rsidRPr="005776A9">
        <w:rPr>
          <w:rFonts w:ascii="Arial" w:hAnsi="Arial"/>
          <w:bCs/>
          <w:sz w:val="22"/>
        </w:rPr>
        <w:t>vlastní kompletní návrh rekonstrukce předmětného úseku silnice II/360 – řešení rekonstrukce v S 9,5 s případným narovnáním, úpravou směrových a výškových oblouků, se specifickou úpravou šířky</w:t>
      </w:r>
      <w:r w:rsidR="005776A9">
        <w:rPr>
          <w:rFonts w:ascii="Arial" w:hAnsi="Arial"/>
          <w:bCs/>
          <w:sz w:val="22"/>
        </w:rPr>
        <w:t>,</w:t>
      </w:r>
    </w:p>
    <w:p w14:paraId="5916BD1B" w14:textId="71E83C97" w:rsidR="00BF4BA2" w:rsidRPr="005776A9" w:rsidRDefault="00676515" w:rsidP="00676515">
      <w:pPr>
        <w:pStyle w:val="ODRKY"/>
        <w:numPr>
          <w:ilvl w:val="0"/>
          <w:numId w:val="28"/>
        </w:numPr>
        <w:tabs>
          <w:tab w:val="num" w:pos="-1560"/>
        </w:tabs>
        <w:ind w:left="284" w:hanging="142"/>
        <w:rPr>
          <w:rFonts w:ascii="Arial" w:hAnsi="Arial"/>
          <w:bCs/>
          <w:sz w:val="22"/>
          <w:u w:val="single"/>
        </w:rPr>
      </w:pPr>
      <w:r w:rsidRPr="005776A9">
        <w:rPr>
          <w:rFonts w:ascii="Arial" w:hAnsi="Arial"/>
          <w:bCs/>
          <w:sz w:val="22"/>
        </w:rPr>
        <w:t xml:space="preserve"> </w:t>
      </w:r>
      <w:r w:rsidR="005776A9">
        <w:rPr>
          <w:rFonts w:ascii="Arial" w:hAnsi="Arial"/>
          <w:bCs/>
          <w:sz w:val="22"/>
        </w:rPr>
        <w:t>v</w:t>
      </w:r>
      <w:r w:rsidRPr="005776A9">
        <w:rPr>
          <w:rFonts w:ascii="Arial" w:hAnsi="Arial"/>
          <w:bCs/>
          <w:sz w:val="22"/>
        </w:rPr>
        <w:t> projektové dokumentaci bude navrženo řešení převedení chodců a cyklistů (cyklostezka 5112) přes silnici II/360 v</w:t>
      </w:r>
      <w:r w:rsidR="008779ED">
        <w:rPr>
          <w:rFonts w:ascii="Arial" w:hAnsi="Arial"/>
          <w:bCs/>
          <w:sz w:val="22"/>
        </w:rPr>
        <w:t> návaznosti na</w:t>
      </w:r>
      <w:r w:rsidRPr="005776A9">
        <w:rPr>
          <w:rFonts w:ascii="Arial" w:hAnsi="Arial"/>
          <w:bCs/>
          <w:sz w:val="22"/>
        </w:rPr>
        <w:t> MK u hřbitova</w:t>
      </w:r>
      <w:r w:rsidR="005776A9">
        <w:rPr>
          <w:rFonts w:ascii="Arial" w:hAnsi="Arial"/>
          <w:bCs/>
          <w:sz w:val="22"/>
        </w:rPr>
        <w:t>,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lastRenderedPageBreak/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0879312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73915A9C" w:rsidR="00FA4E4C" w:rsidRPr="00836549" w:rsidRDefault="00836549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36549">
        <w:rPr>
          <w:rFonts w:ascii="Arial" w:hAnsi="Arial" w:cs="Arial"/>
          <w:bCs/>
          <w:sz w:val="22"/>
          <w:szCs w:val="22"/>
        </w:rPr>
        <w:t xml:space="preserve">havarijní </w:t>
      </w:r>
      <w:r w:rsidR="00FA4E4C" w:rsidRPr="00836549">
        <w:rPr>
          <w:rFonts w:ascii="Arial" w:hAnsi="Arial" w:cs="Arial"/>
          <w:bCs/>
          <w:sz w:val="22"/>
          <w:szCs w:val="22"/>
        </w:rPr>
        <w:t>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7C75A6F0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</w:t>
      </w:r>
      <w:r w:rsidRPr="0091158E">
        <w:rPr>
          <w:rFonts w:ascii="Arial" w:hAnsi="Arial" w:cs="Arial"/>
          <w:bCs/>
          <w:sz w:val="22"/>
          <w:szCs w:val="22"/>
        </w:rPr>
        <w:t xml:space="preserve">stavby. Jeho odměna je součástí ceny </w:t>
      </w:r>
      <w:r w:rsidR="008A5301" w:rsidRPr="0091158E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 w:rsidRPr="0091158E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 w:rsidRPr="0091158E">
        <w:rPr>
          <w:rFonts w:ascii="Arial" w:hAnsi="Arial" w:cs="Arial"/>
          <w:bCs/>
          <w:sz w:val="22"/>
          <w:szCs w:val="22"/>
        </w:rPr>
        <w:t xml:space="preserve"> smlouvy.</w:t>
      </w:r>
      <w:r w:rsidR="00760EC1" w:rsidRPr="0091158E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 w:rsidRPr="0091158E">
        <w:rPr>
          <w:rFonts w:ascii="Arial" w:hAnsi="Arial" w:cs="Arial"/>
          <w:sz w:val="22"/>
          <w:szCs w:val="22"/>
        </w:rPr>
        <w:t xml:space="preserve">hotovitel oprávněn, po předchozím souhlasu objednatele, </w:t>
      </w:r>
      <w:r w:rsidR="00463660" w:rsidRPr="0091158E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59770E3E" w14:textId="21E2FD2B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2CB5ED09" w:rsidR="005F166B" w:rsidRPr="00873DDE" w:rsidRDefault="00DD0F9F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91158E">
        <w:rPr>
          <w:rFonts w:ascii="Arial" w:hAnsi="Arial" w:cs="Arial"/>
          <w:bCs/>
          <w:sz w:val="22"/>
          <w:szCs w:val="22"/>
        </w:rPr>
        <w:t xml:space="preserve">x </w:t>
      </w:r>
      <w:r w:rsidR="005F166B"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="005F166B"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>podobě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="005F166B"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="005F166B"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="005F166B"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="005F166B"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="005F166B"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2A056EF1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567D1321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279EC1A4" w:rsidR="00975028" w:rsidRPr="004E0CEA" w:rsidRDefault="00DD0F9F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067CE10E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lastRenderedPageBreak/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513852A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635FBF38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E25F06" w:rsidRPr="007A1921">
        <w:rPr>
          <w:rFonts w:ascii="Arial" w:hAnsi="Arial" w:cs="Arial"/>
          <w:sz w:val="22"/>
          <w:szCs w:val="22"/>
        </w:rPr>
        <w:t>30</w:t>
      </w:r>
      <w:r w:rsidR="00EB1D6F" w:rsidRPr="007A1921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7A1921">
        <w:rPr>
          <w:rFonts w:ascii="Arial" w:hAnsi="Arial" w:cs="Arial"/>
          <w:sz w:val="22"/>
          <w:szCs w:val="22"/>
        </w:rPr>
        <w:t xml:space="preserve"> D</w:t>
      </w:r>
      <w:r w:rsidR="003412D7" w:rsidRPr="007A1921">
        <w:rPr>
          <w:rFonts w:ascii="Arial" w:hAnsi="Arial" w:cs="Arial"/>
          <w:sz w:val="22"/>
          <w:szCs w:val="22"/>
        </w:rPr>
        <w:t>P</w:t>
      </w:r>
      <w:r w:rsidR="00215613" w:rsidRPr="007A1921">
        <w:rPr>
          <w:rFonts w:ascii="Arial" w:hAnsi="Arial" w:cs="Arial"/>
          <w:sz w:val="22"/>
          <w:szCs w:val="22"/>
        </w:rPr>
        <w:t xml:space="preserve"> </w:t>
      </w:r>
      <w:r w:rsidR="00C87BC5" w:rsidRPr="007A1921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7A1921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7A1921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7A1921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7A1921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7A1921">
        <w:rPr>
          <w:rFonts w:ascii="Arial" w:hAnsi="Arial" w:cs="Arial"/>
          <w:spacing w:val="6"/>
          <w:sz w:val="22"/>
          <w:szCs w:val="22"/>
        </w:rPr>
        <w:t>v </w:t>
      </w:r>
      <w:r w:rsidR="00215613" w:rsidRPr="007A1921">
        <w:rPr>
          <w:rFonts w:ascii="Arial" w:hAnsi="Arial" w:cs="Arial"/>
          <w:sz w:val="22"/>
          <w:szCs w:val="22"/>
        </w:rPr>
        <w:t xml:space="preserve">délce trvání jednoho </w:t>
      </w:r>
      <w:r w:rsidR="002E336C" w:rsidRPr="007A1921">
        <w:rPr>
          <w:rFonts w:ascii="Arial" w:hAnsi="Arial" w:cs="Arial"/>
          <w:sz w:val="22"/>
          <w:szCs w:val="22"/>
        </w:rPr>
        <w:t>kontrolního dne</w:t>
      </w:r>
      <w:r w:rsidR="00215613" w:rsidRPr="007A1921">
        <w:rPr>
          <w:rFonts w:ascii="Arial" w:hAnsi="Arial" w:cs="Arial"/>
          <w:sz w:val="22"/>
          <w:szCs w:val="22"/>
        </w:rPr>
        <w:t xml:space="preserve"> 3 hod</w:t>
      </w:r>
      <w:r w:rsidR="00C87BC5" w:rsidRPr="007A1921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 xml:space="preserve"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</w:t>
      </w:r>
      <w:r w:rsidRPr="008409E7">
        <w:rPr>
          <w:rFonts w:ascii="Arial" w:hAnsi="Arial" w:cs="Arial"/>
          <w:sz w:val="22"/>
          <w:szCs w:val="22"/>
          <w:lang w:eastAsia="ar-SA"/>
        </w:rPr>
        <w:lastRenderedPageBreak/>
        <w:t>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472A3BC" w14:textId="445C4D98"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40C51EAC" w14:textId="6CDFF26F" w:rsidR="002D4EEA" w:rsidRDefault="002D4EEA" w:rsidP="002D4EEA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CA4DFA">
        <w:rPr>
          <w:rFonts w:ascii="Arial" w:hAnsi="Arial" w:cs="Arial"/>
          <w:sz w:val="22"/>
          <w:szCs w:val="22"/>
          <w:lang w:val="pl-PL"/>
        </w:rPr>
        <w:t xml:space="preserve"> </w:t>
      </w:r>
      <w:r w:rsidR="00BD7A31" w:rsidRPr="00CA4DFA">
        <w:rPr>
          <w:rFonts w:ascii="Arial" w:hAnsi="Arial" w:cs="Arial"/>
          <w:sz w:val="22"/>
          <w:szCs w:val="22"/>
          <w:lang w:val="pl-PL"/>
        </w:rPr>
        <w:t>04</w:t>
      </w:r>
      <w:r w:rsidRPr="00CA4DFA">
        <w:rPr>
          <w:rFonts w:ascii="Arial" w:hAnsi="Arial" w:cs="Arial"/>
          <w:sz w:val="22"/>
          <w:szCs w:val="22"/>
          <w:lang w:val="pl-PL"/>
        </w:rPr>
        <w:t>/2025</w:t>
      </w:r>
    </w:p>
    <w:p w14:paraId="2419A78C" w14:textId="77777777" w:rsidR="002D4EEA" w:rsidRPr="001C664A" w:rsidRDefault="002D4EEA" w:rsidP="00F960C5">
      <w:pPr>
        <w:pStyle w:val="Bntext2"/>
        <w:spacing w:line="264" w:lineRule="auto"/>
        <w:ind w:left="0"/>
        <w:rPr>
          <w:lang w:val="pl-PL"/>
        </w:rPr>
      </w:pPr>
    </w:p>
    <w:p w14:paraId="2D003CC3" w14:textId="2246BDD7"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7E3790">
        <w:rPr>
          <w:rFonts w:ascii="Arial" w:hAnsi="Arial" w:cs="Arial"/>
          <w:sz w:val="22"/>
          <w:szCs w:val="22"/>
          <w:lang w:val="pl-PL"/>
        </w:rPr>
        <w:t>01</w:t>
      </w:r>
      <w:r w:rsidR="004630B0" w:rsidRPr="004379AC">
        <w:rPr>
          <w:rFonts w:ascii="Arial" w:hAnsi="Arial" w:cs="Arial"/>
          <w:sz w:val="22"/>
          <w:szCs w:val="22"/>
          <w:lang w:val="pl-PL"/>
        </w:rPr>
        <w:t xml:space="preserve">. </w:t>
      </w:r>
      <w:r w:rsidR="007E3790">
        <w:rPr>
          <w:rFonts w:ascii="Arial" w:hAnsi="Arial" w:cs="Arial"/>
          <w:sz w:val="22"/>
          <w:szCs w:val="22"/>
          <w:lang w:val="pl-PL"/>
        </w:rPr>
        <w:t>09</w:t>
      </w:r>
      <w:r w:rsidR="00386957">
        <w:rPr>
          <w:rFonts w:ascii="Arial" w:hAnsi="Arial" w:cs="Arial"/>
          <w:sz w:val="22"/>
          <w:szCs w:val="22"/>
          <w:lang w:val="pl-PL"/>
        </w:rPr>
        <w:t>. 2025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1C450FAF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7E3790">
        <w:rPr>
          <w:rFonts w:ascii="Arial" w:hAnsi="Arial" w:cs="Arial"/>
          <w:sz w:val="22"/>
          <w:szCs w:val="22"/>
          <w:lang w:val="pl-PL"/>
        </w:rPr>
        <w:t>01</w:t>
      </w:r>
      <w:r w:rsidR="00386957">
        <w:rPr>
          <w:rFonts w:ascii="Arial" w:hAnsi="Arial" w:cs="Arial"/>
          <w:sz w:val="22"/>
          <w:szCs w:val="22"/>
          <w:lang w:val="pl-PL"/>
        </w:rPr>
        <w:t>.</w:t>
      </w:r>
      <w:r w:rsidR="0016037C">
        <w:rPr>
          <w:rFonts w:ascii="Arial" w:hAnsi="Arial" w:cs="Arial"/>
          <w:sz w:val="22"/>
          <w:szCs w:val="22"/>
          <w:lang w:val="pl-PL"/>
        </w:rPr>
        <w:t xml:space="preserve"> </w:t>
      </w:r>
      <w:r w:rsidR="00386957">
        <w:rPr>
          <w:rFonts w:ascii="Arial" w:hAnsi="Arial" w:cs="Arial"/>
          <w:sz w:val="22"/>
          <w:szCs w:val="22"/>
          <w:lang w:val="pl-PL"/>
        </w:rPr>
        <w:t>1</w:t>
      </w:r>
      <w:r w:rsidR="007E3790">
        <w:rPr>
          <w:rFonts w:ascii="Arial" w:hAnsi="Arial" w:cs="Arial"/>
          <w:sz w:val="22"/>
          <w:szCs w:val="22"/>
          <w:lang w:val="pl-PL"/>
        </w:rPr>
        <w:t>2</w:t>
      </w:r>
      <w:r w:rsidR="004630B0" w:rsidRPr="00CC090D">
        <w:rPr>
          <w:rFonts w:ascii="Arial" w:hAnsi="Arial" w:cs="Arial"/>
          <w:sz w:val="22"/>
          <w:szCs w:val="22"/>
          <w:lang w:val="pl-PL"/>
        </w:rPr>
        <w:t>.</w:t>
      </w:r>
      <w:r w:rsidR="00386957">
        <w:rPr>
          <w:rFonts w:ascii="Arial" w:hAnsi="Arial" w:cs="Arial"/>
          <w:sz w:val="22"/>
          <w:szCs w:val="22"/>
          <w:lang w:val="pl-PL"/>
        </w:rPr>
        <w:t xml:space="preserve"> 2025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137DD78E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7E3790">
        <w:rPr>
          <w:rFonts w:ascii="Arial" w:hAnsi="Arial" w:cs="Arial"/>
          <w:sz w:val="22"/>
          <w:szCs w:val="22"/>
          <w:lang w:val="pl-PL"/>
        </w:rPr>
        <w:t>do 02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7E3790">
        <w:rPr>
          <w:rFonts w:ascii="Arial" w:hAnsi="Arial" w:cs="Arial"/>
          <w:sz w:val="22"/>
          <w:szCs w:val="22"/>
          <w:lang w:val="pl-PL"/>
        </w:rPr>
        <w:t>02</w:t>
      </w:r>
      <w:r w:rsidR="00C00973" w:rsidRPr="00CC090D">
        <w:rPr>
          <w:rFonts w:ascii="Arial" w:hAnsi="Arial" w:cs="Arial"/>
          <w:sz w:val="22"/>
          <w:szCs w:val="22"/>
          <w:lang w:val="pl-PL"/>
        </w:rPr>
        <w:t>. 202</w:t>
      </w:r>
      <w:r w:rsidR="00425449">
        <w:rPr>
          <w:rFonts w:ascii="Arial" w:hAnsi="Arial" w:cs="Arial"/>
          <w:sz w:val="22"/>
          <w:szCs w:val="22"/>
          <w:lang w:val="pl-PL"/>
        </w:rPr>
        <w:t>6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92B5DF0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 xml:space="preserve">ke splnění </w:t>
      </w:r>
      <w:r w:rsidR="00475097" w:rsidRPr="002766AD">
        <w:rPr>
          <w:color w:val="auto"/>
        </w:rPr>
        <w:lastRenderedPageBreak/>
        <w:t>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5730A7D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FD0FEE">
        <w:rPr>
          <w:rFonts w:ascii="Arial" w:hAnsi="Arial" w:cs="Arial"/>
          <w:sz w:val="22"/>
          <w:szCs w:val="22"/>
        </w:rPr>
        <w:t xml:space="preserve">rozsahu </w:t>
      </w:r>
      <w:r w:rsidR="00E4098C" w:rsidRPr="00FD0FEE">
        <w:rPr>
          <w:rFonts w:ascii="Arial" w:hAnsi="Arial" w:cs="Arial"/>
          <w:sz w:val="22"/>
          <w:szCs w:val="22"/>
        </w:rPr>
        <w:t>90</w:t>
      </w:r>
      <w:r w:rsidRPr="00FD0FEE">
        <w:rPr>
          <w:rFonts w:ascii="Arial" w:hAnsi="Arial" w:cs="Arial"/>
          <w:sz w:val="22"/>
          <w:szCs w:val="22"/>
        </w:rPr>
        <w:t xml:space="preserve"> hodin představuje</w:t>
      </w:r>
      <w:r w:rsidRPr="002766AD">
        <w:rPr>
          <w:rFonts w:ascii="Arial" w:hAnsi="Arial" w:cs="Arial"/>
          <w:sz w:val="22"/>
          <w:szCs w:val="22"/>
        </w:rPr>
        <w:t xml:space="preserve"> předpokládanou účast na</w:t>
      </w:r>
      <w:r w:rsidR="00FD0FEE">
        <w:rPr>
          <w:rFonts w:ascii="Arial" w:hAnsi="Arial" w:cs="Arial"/>
          <w:sz w:val="22"/>
          <w:szCs w:val="22"/>
        </w:rPr>
        <w:t xml:space="preserve"> 30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5804E0F2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E4098C" w:rsidRPr="00FD0FEE">
        <w:rPr>
          <w:rFonts w:ascii="Arial" w:hAnsi="Arial" w:cs="Arial"/>
          <w:b/>
          <w:sz w:val="22"/>
          <w:szCs w:val="22"/>
          <w:u w:val="single"/>
        </w:rPr>
        <w:t>rozsahu 90</w:t>
      </w:r>
      <w:r w:rsidR="00C07F17" w:rsidRPr="00FD0FEE">
        <w:rPr>
          <w:rFonts w:ascii="Arial" w:hAnsi="Arial" w:cs="Arial"/>
          <w:b/>
          <w:sz w:val="22"/>
          <w:szCs w:val="22"/>
          <w:u w:val="single"/>
        </w:rPr>
        <w:t xml:space="preserve">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lastRenderedPageBreak/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3C62A1AA" w14:textId="70BE6806" w:rsidR="00EE5626" w:rsidRPr="00EE5626" w:rsidRDefault="00C4146A" w:rsidP="00EE5626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010CCE" w:rsidRPr="00010CCE">
        <w:rPr>
          <w:b/>
          <w:color w:val="auto"/>
        </w:rPr>
        <w:t>II/360 Trnava – Rudíkov část 2, homogenizace úseku silnice mezi Třebíčí a D1</w:t>
      </w:r>
      <w:r w:rsidR="00F60664" w:rsidRPr="00010CCE">
        <w:rPr>
          <w:b/>
          <w:color w:val="auto"/>
        </w:rPr>
        <w:t>.</w:t>
      </w:r>
      <w:r w:rsidR="00EE5626" w:rsidRPr="00010CCE">
        <w:rPr>
          <w:b/>
          <w:color w:val="auto"/>
        </w:rPr>
        <w:t xml:space="preserve"> </w:t>
      </w:r>
    </w:p>
    <w:p w14:paraId="21F6B41B" w14:textId="77777777" w:rsidR="004379AC" w:rsidRPr="00010CCE" w:rsidRDefault="004379AC" w:rsidP="004379AC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69C44B1F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</w:t>
      </w:r>
      <w:r w:rsidR="00363F03" w:rsidRPr="003F228C">
        <w:rPr>
          <w:color w:val="auto"/>
        </w:rPr>
        <w:lastRenderedPageBreak/>
        <w:t>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lastRenderedPageBreak/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171C700F" w14:textId="23A782C8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76CED88A" w14:textId="1B8F0B3F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2503D8CF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</w:t>
      </w:r>
      <w:r w:rsidRPr="005E3FE3">
        <w:rPr>
          <w:rFonts w:ascii="Arial" w:hAnsi="Arial" w:cs="Arial"/>
          <w:sz w:val="22"/>
          <w:szCs w:val="22"/>
        </w:rPr>
        <w:lastRenderedPageBreak/>
        <w:t xml:space="preserve">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lastRenderedPageBreak/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3C8A4997" w:rsidR="004744C5" w:rsidRPr="004744C5" w:rsidRDefault="004744C5" w:rsidP="004744C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4744C5">
        <w:rPr>
          <w:color w:val="auto"/>
          <w:spacing w:val="-4"/>
        </w:rPr>
        <w:t xml:space="preserve">Výběr </w:t>
      </w:r>
      <w:r w:rsidR="000E30C9">
        <w:rPr>
          <w:color w:val="auto"/>
          <w:spacing w:val="-4"/>
        </w:rPr>
        <w:t>Zhotovit</w:t>
      </w:r>
      <w:r w:rsidRPr="004744C5">
        <w:rPr>
          <w:color w:val="auto"/>
          <w:spacing w:val="-4"/>
        </w:rPr>
        <w:t>ele byl proveden v souladu s Pravidly Rady Kraje Vysočina pro zadávání veřejných zakázek ze dne 29. 6. 2021.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45450EBF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5539586" w14:textId="7DB45FDD" w:rsidR="001D249B" w:rsidRDefault="001D249B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0BCE9979" w14:textId="63D5E77B" w:rsidR="001D249B" w:rsidRDefault="001D249B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01E3F24" w14:textId="77777777" w:rsidR="00B130A0" w:rsidRDefault="00B130A0" w:rsidP="00F34E8A">
      <w:pPr>
        <w:pStyle w:val="Zkladntextodsazen"/>
        <w:spacing w:line="264" w:lineRule="auto"/>
        <w:jc w:val="both"/>
        <w:rPr>
          <w:b/>
          <w:color w:val="auto"/>
        </w:rPr>
      </w:pPr>
      <w:bookmarkStart w:id="0" w:name="_GoBack"/>
      <w:bookmarkEnd w:id="0"/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56E0A5A" w:rsidR="002B2A09" w:rsidRPr="00AE192E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Ing. </w:t>
      </w:r>
      <w:r w:rsidR="00AE192E" w:rsidRPr="00AE192E">
        <w:rPr>
          <w:rFonts w:eastAsia="MS Mincho"/>
        </w:rPr>
        <w:t>Vladimír Novotný</w:t>
      </w:r>
    </w:p>
    <w:p w14:paraId="2560E145" w14:textId="39C16FD3" w:rsidR="002B2A09" w:rsidRDefault="00AE192E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 w:rsidRPr="00AE192E">
        <w:rPr>
          <w:rFonts w:eastAsia="MS Mincho"/>
        </w:rPr>
        <w:t xml:space="preserve">2. </w:t>
      </w:r>
      <w:r w:rsidR="00C84FA8" w:rsidRPr="00AE192E">
        <w:rPr>
          <w:rFonts w:eastAsia="MS Mincho"/>
        </w:rPr>
        <w:t xml:space="preserve">náměstek </w:t>
      </w:r>
      <w:r w:rsidR="002B2A09" w:rsidRPr="00AE192E">
        <w:rPr>
          <w:rFonts w:eastAsia="MS Mincho"/>
        </w:rPr>
        <w:t>hejtman</w:t>
      </w:r>
      <w:r w:rsidR="00C84FA8" w:rsidRPr="00AE192E">
        <w:rPr>
          <w:rFonts w:eastAsia="MS Mincho"/>
        </w:rPr>
        <w:t>a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382DA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9EE50" w14:textId="77777777" w:rsidR="001E64BB" w:rsidRDefault="001E64BB">
      <w:r>
        <w:separator/>
      </w:r>
    </w:p>
  </w:endnote>
  <w:endnote w:type="continuationSeparator" w:id="0">
    <w:p w14:paraId="6B2985E6" w14:textId="77777777" w:rsidR="001E64BB" w:rsidRDefault="001E64BB">
      <w:r>
        <w:continuationSeparator/>
      </w:r>
    </w:p>
  </w:endnote>
  <w:endnote w:type="continuationNotice" w:id="1">
    <w:p w14:paraId="089DFD1D" w14:textId="77777777" w:rsidR="001E64BB" w:rsidRDefault="001E64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3F13BE35" w:rsidR="001D2B24" w:rsidRDefault="001D2B24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130A0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130A0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02C9A8EE" w:rsidR="001D2B24" w:rsidRDefault="001D2B24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130A0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130A0">
      <w:rPr>
        <w:rFonts w:ascii="Arial" w:hAnsi="Arial" w:cs="Arial"/>
        <w:noProof/>
        <w:sz w:val="20"/>
        <w:szCs w:val="20"/>
      </w:rPr>
      <w:t>19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D3A35" w14:textId="77777777" w:rsidR="001E64BB" w:rsidRDefault="001E64BB">
      <w:r>
        <w:separator/>
      </w:r>
    </w:p>
  </w:footnote>
  <w:footnote w:type="continuationSeparator" w:id="0">
    <w:p w14:paraId="5CBF35DD" w14:textId="77777777" w:rsidR="001E64BB" w:rsidRDefault="001E64BB">
      <w:r>
        <w:continuationSeparator/>
      </w:r>
    </w:p>
  </w:footnote>
  <w:footnote w:type="continuationNotice" w:id="1">
    <w:p w14:paraId="560144D9" w14:textId="77777777" w:rsidR="001E64BB" w:rsidRDefault="001E64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35D5E" w14:textId="3B75AA79" w:rsidR="00AF636F" w:rsidRDefault="00AF636F" w:rsidP="00AF636F">
    <w:pPr>
      <w:pStyle w:val="Zhlav"/>
      <w:jc w:val="center"/>
    </w:pPr>
    <w:r>
      <w:rPr>
        <w:noProof/>
      </w:rPr>
      <w:drawing>
        <wp:inline distT="0" distB="0" distL="0" distR="0" wp14:anchorId="35384695" wp14:editId="4AF89646">
          <wp:extent cx="2114550" cy="71036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8E71EA" w14:textId="3A5A89CA" w:rsidR="00AF636F" w:rsidRPr="00AF636F" w:rsidRDefault="00AF636F" w:rsidP="00AF63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66622" w14:textId="790563E8" w:rsidR="00AF636F" w:rsidRDefault="00AF636F" w:rsidP="00AF636F">
    <w:pPr>
      <w:pStyle w:val="Nadpis1"/>
      <w:spacing w:after="0"/>
      <w:jc w:val="center"/>
      <w:rPr>
        <w:rFonts w:ascii="Arial" w:hAnsi="Arial" w:cs="Arial"/>
        <w:b w:val="0"/>
        <w:sz w:val="18"/>
        <w:szCs w:val="18"/>
      </w:rPr>
    </w:pPr>
    <w:r>
      <w:rPr>
        <w:noProof/>
        <w:lang w:val="cs-CZ" w:eastAsia="cs-CZ"/>
      </w:rPr>
      <w:drawing>
        <wp:inline distT="0" distB="0" distL="0" distR="0" wp14:anchorId="5ED6AB4C" wp14:editId="6C7671BA">
          <wp:extent cx="2114550" cy="710369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45A856" w14:textId="77777777" w:rsidR="00AF636F" w:rsidRDefault="00AF636F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</w:p>
  <w:p w14:paraId="64B6CBE1" w14:textId="77777777" w:rsidR="00AF636F" w:rsidRDefault="00AF636F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</w:p>
  <w:p w14:paraId="4740169F" w14:textId="32438E4C" w:rsidR="001D2B24" w:rsidRPr="00C82BDA" w:rsidRDefault="001D2B24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1D2B24" w:rsidRPr="00C82BDA" w:rsidRDefault="001D2B24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1D2B24" w:rsidRDefault="001D2B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F9C0222"/>
    <w:multiLevelType w:val="hybridMultilevel"/>
    <w:tmpl w:val="52146328"/>
    <w:lvl w:ilvl="0" w:tplc="C8A4B5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8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1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6"/>
  </w:num>
  <w:num w:numId="2">
    <w:abstractNumId w:val="23"/>
  </w:num>
  <w:num w:numId="3">
    <w:abstractNumId w:val="51"/>
  </w:num>
  <w:num w:numId="4">
    <w:abstractNumId w:val="0"/>
  </w:num>
  <w:num w:numId="5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7"/>
  </w:num>
  <w:num w:numId="8">
    <w:abstractNumId w:val="42"/>
  </w:num>
  <w:num w:numId="9">
    <w:abstractNumId w:val="38"/>
  </w:num>
  <w:num w:numId="10">
    <w:abstractNumId w:val="12"/>
  </w:num>
  <w:num w:numId="11">
    <w:abstractNumId w:val="5"/>
  </w:num>
  <w:num w:numId="12">
    <w:abstractNumId w:val="41"/>
  </w:num>
  <w:num w:numId="13">
    <w:abstractNumId w:val="15"/>
  </w:num>
  <w:num w:numId="14">
    <w:abstractNumId w:val="30"/>
  </w:num>
  <w:num w:numId="15">
    <w:abstractNumId w:val="34"/>
  </w:num>
  <w:num w:numId="16">
    <w:abstractNumId w:val="7"/>
  </w:num>
  <w:num w:numId="17">
    <w:abstractNumId w:val="25"/>
  </w:num>
  <w:num w:numId="18">
    <w:abstractNumId w:val="3"/>
  </w:num>
  <w:num w:numId="19">
    <w:abstractNumId w:val="16"/>
  </w:num>
  <w:num w:numId="20">
    <w:abstractNumId w:val="45"/>
  </w:num>
  <w:num w:numId="21">
    <w:abstractNumId w:val="43"/>
  </w:num>
  <w:num w:numId="22">
    <w:abstractNumId w:val="19"/>
  </w:num>
  <w:num w:numId="23">
    <w:abstractNumId w:val="13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2"/>
  </w:num>
  <w:num w:numId="27">
    <w:abstractNumId w:val="50"/>
  </w:num>
  <w:num w:numId="28">
    <w:abstractNumId w:val="26"/>
  </w:num>
  <w:num w:numId="29">
    <w:abstractNumId w:val="29"/>
  </w:num>
  <w:num w:numId="30">
    <w:abstractNumId w:val="11"/>
  </w:num>
  <w:num w:numId="31">
    <w:abstractNumId w:val="2"/>
  </w:num>
  <w:num w:numId="32">
    <w:abstractNumId w:val="21"/>
  </w:num>
  <w:num w:numId="33">
    <w:abstractNumId w:val="4"/>
  </w:num>
  <w:num w:numId="34">
    <w:abstractNumId w:val="18"/>
  </w:num>
  <w:num w:numId="35">
    <w:abstractNumId w:val="39"/>
  </w:num>
  <w:num w:numId="36">
    <w:abstractNumId w:val="8"/>
  </w:num>
  <w:num w:numId="37">
    <w:abstractNumId w:val="36"/>
  </w:num>
  <w:num w:numId="38">
    <w:abstractNumId w:val="44"/>
  </w:num>
  <w:num w:numId="39">
    <w:abstractNumId w:val="20"/>
  </w:num>
  <w:num w:numId="40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8"/>
  </w:num>
  <w:num w:numId="43">
    <w:abstractNumId w:val="9"/>
  </w:num>
  <w:num w:numId="44">
    <w:abstractNumId w:val="6"/>
  </w:num>
  <w:num w:numId="45">
    <w:abstractNumId w:val="35"/>
  </w:num>
  <w:num w:numId="46">
    <w:abstractNumId w:val="24"/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0CCE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31052"/>
    <w:rsid w:val="001320F4"/>
    <w:rsid w:val="00137877"/>
    <w:rsid w:val="00141722"/>
    <w:rsid w:val="00141E8D"/>
    <w:rsid w:val="00144325"/>
    <w:rsid w:val="00144F19"/>
    <w:rsid w:val="00147219"/>
    <w:rsid w:val="001517E3"/>
    <w:rsid w:val="0016037C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3F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249B"/>
    <w:rsid w:val="001D2B24"/>
    <w:rsid w:val="001D7997"/>
    <w:rsid w:val="001E2BC7"/>
    <w:rsid w:val="001E4D54"/>
    <w:rsid w:val="001E5749"/>
    <w:rsid w:val="001E5B66"/>
    <w:rsid w:val="001E64BB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A9B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43FC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4EEA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145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957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5449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C531E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4F5D57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776A9"/>
    <w:rsid w:val="00582203"/>
    <w:rsid w:val="00582254"/>
    <w:rsid w:val="0059463F"/>
    <w:rsid w:val="005951FE"/>
    <w:rsid w:val="00597124"/>
    <w:rsid w:val="005978F8"/>
    <w:rsid w:val="005A03FE"/>
    <w:rsid w:val="005A062A"/>
    <w:rsid w:val="005A0F78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06F"/>
    <w:rsid w:val="006515E4"/>
    <w:rsid w:val="00651AEC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76515"/>
    <w:rsid w:val="006817A9"/>
    <w:rsid w:val="006832D3"/>
    <w:rsid w:val="00683E83"/>
    <w:rsid w:val="006843E6"/>
    <w:rsid w:val="00690700"/>
    <w:rsid w:val="00690999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7B2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1921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790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6549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57478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7693E"/>
    <w:rsid w:val="008779ED"/>
    <w:rsid w:val="0088054F"/>
    <w:rsid w:val="008826B9"/>
    <w:rsid w:val="0088303B"/>
    <w:rsid w:val="0088408A"/>
    <w:rsid w:val="008852EC"/>
    <w:rsid w:val="00885E99"/>
    <w:rsid w:val="0088665E"/>
    <w:rsid w:val="008873BC"/>
    <w:rsid w:val="008879A3"/>
    <w:rsid w:val="008905C8"/>
    <w:rsid w:val="00890FAD"/>
    <w:rsid w:val="00893B5C"/>
    <w:rsid w:val="0089609B"/>
    <w:rsid w:val="00896361"/>
    <w:rsid w:val="00896F0C"/>
    <w:rsid w:val="008A0F46"/>
    <w:rsid w:val="008A48D9"/>
    <w:rsid w:val="008A5301"/>
    <w:rsid w:val="008A5B28"/>
    <w:rsid w:val="008A5C2C"/>
    <w:rsid w:val="008A7D86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0B16"/>
    <w:rsid w:val="008F23F2"/>
    <w:rsid w:val="008F392D"/>
    <w:rsid w:val="008F6682"/>
    <w:rsid w:val="008F7970"/>
    <w:rsid w:val="00902636"/>
    <w:rsid w:val="009028FD"/>
    <w:rsid w:val="0090343A"/>
    <w:rsid w:val="009076B3"/>
    <w:rsid w:val="0091158E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3C39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12C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192E"/>
    <w:rsid w:val="00AE3512"/>
    <w:rsid w:val="00AE4C48"/>
    <w:rsid w:val="00AF0F29"/>
    <w:rsid w:val="00AF2D95"/>
    <w:rsid w:val="00AF2F0E"/>
    <w:rsid w:val="00AF4161"/>
    <w:rsid w:val="00AF47B9"/>
    <w:rsid w:val="00AF636F"/>
    <w:rsid w:val="00B01C1E"/>
    <w:rsid w:val="00B024D9"/>
    <w:rsid w:val="00B026EE"/>
    <w:rsid w:val="00B03B70"/>
    <w:rsid w:val="00B04300"/>
    <w:rsid w:val="00B07665"/>
    <w:rsid w:val="00B11331"/>
    <w:rsid w:val="00B11CA6"/>
    <w:rsid w:val="00B130A0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4536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3FB0"/>
    <w:rsid w:val="00BC51BB"/>
    <w:rsid w:val="00BC55E5"/>
    <w:rsid w:val="00BC59F8"/>
    <w:rsid w:val="00BC7036"/>
    <w:rsid w:val="00BD7A31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4DFA"/>
    <w:rsid w:val="00CA62D7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1B3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0F9F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5F06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098C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56D11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49F8"/>
    <w:rsid w:val="00EB642F"/>
    <w:rsid w:val="00EB784E"/>
    <w:rsid w:val="00EC0FBE"/>
    <w:rsid w:val="00EC265A"/>
    <w:rsid w:val="00EC310F"/>
    <w:rsid w:val="00EC3B44"/>
    <w:rsid w:val="00EC4EDA"/>
    <w:rsid w:val="00EC52F1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5626"/>
    <w:rsid w:val="00EE6D8D"/>
    <w:rsid w:val="00EF0567"/>
    <w:rsid w:val="00EF059B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3560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0664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1466"/>
    <w:rsid w:val="00FC3E98"/>
    <w:rsid w:val="00FC4714"/>
    <w:rsid w:val="00FC6007"/>
    <w:rsid w:val="00FC6129"/>
    <w:rsid w:val="00FC7A90"/>
    <w:rsid w:val="00FC7E24"/>
    <w:rsid w:val="00FD04DC"/>
    <w:rsid w:val="00FD0FEE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3A8E"/>
    <w:rsid w:val="00FE5365"/>
    <w:rsid w:val="00FE710B"/>
    <w:rsid w:val="00FF4355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9A3B8-B52C-4C71-9D20-DD8767D3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19</Pages>
  <Words>6905</Words>
  <Characters>42514</Characters>
  <Application>Microsoft Office Word</Application>
  <DocSecurity>0</DocSecurity>
  <Lines>354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91</cp:revision>
  <cp:lastPrinted>2020-01-27T08:54:00Z</cp:lastPrinted>
  <dcterms:created xsi:type="dcterms:W3CDTF">2024-08-21T11:56:00Z</dcterms:created>
  <dcterms:modified xsi:type="dcterms:W3CDTF">2025-02-18T06:37:00Z</dcterms:modified>
</cp:coreProperties>
</file>